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9B583" w14:textId="70581AF0" w:rsidR="00D50227" w:rsidRDefault="00D50227" w:rsidP="00A45AF9">
      <w:pPr>
        <w:spacing w:before="60" w:after="60"/>
        <w:rPr>
          <w:rFonts w:ascii="Times New Roman" w:hAnsi="Times New Roman" w:cs="Times New Roman"/>
          <w:b/>
          <w:bCs/>
          <w:color w:val="4472C4" w:themeColor="accent1"/>
          <w:kern w:val="0"/>
          <w:sz w:val="24"/>
        </w:rPr>
      </w:pPr>
      <w:r>
        <w:rPr>
          <w:noProof/>
        </w:rPr>
        <w:drawing>
          <wp:inline distT="0" distB="0" distL="0" distR="0" wp14:anchorId="5BF68476" wp14:editId="08C57D77">
            <wp:extent cx="5274310" cy="1837690"/>
            <wp:effectExtent l="0" t="0" r="2540" b="0"/>
            <wp:docPr id="19445963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89147" w14:textId="5C23E233" w:rsidR="00A45AF9" w:rsidRPr="00C24D3F" w:rsidRDefault="002335B0" w:rsidP="00A45AF9">
      <w:pPr>
        <w:spacing w:before="60" w:after="60"/>
        <w:rPr>
          <w:rFonts w:ascii="Times New Roman" w:hAnsi="Times New Roman" w:cs="Times New Roman"/>
          <w:b/>
          <w:bCs/>
          <w:kern w:val="0"/>
          <w:sz w:val="24"/>
        </w:rPr>
      </w:pPr>
      <w:r w:rsidRPr="00C24D3F">
        <w:rPr>
          <w:rFonts w:ascii="Times New Roman" w:eastAsia="MS Mincho" w:hAnsi="Times New Roman" w:cs="Times New Roman"/>
          <w:b/>
          <w:bCs/>
          <w:kern w:val="0"/>
          <w:sz w:val="24"/>
          <w:lang w:eastAsia="en-US"/>
        </w:rPr>
        <w:t xml:space="preserve">Supplementary Fig. </w:t>
      </w:r>
      <w:r w:rsidR="007C328C" w:rsidRPr="00C24D3F">
        <w:rPr>
          <w:rFonts w:ascii="Times New Roman" w:hAnsi="Times New Roman" w:cs="Times New Roman" w:hint="eastAsia"/>
          <w:b/>
          <w:bCs/>
          <w:kern w:val="0"/>
          <w:sz w:val="24"/>
        </w:rPr>
        <w:t>1</w:t>
      </w:r>
      <w:r w:rsidR="00A45AF9" w:rsidRPr="00C24D3F">
        <w:rPr>
          <w:rFonts w:ascii="Times New Roman" w:eastAsia="MS Mincho" w:hAnsi="Times New Roman" w:cs="Times New Roman" w:hint="eastAsia"/>
          <w:b/>
          <w:bCs/>
          <w:kern w:val="0"/>
          <w:sz w:val="24"/>
          <w:lang w:eastAsia="en-US"/>
        </w:rPr>
        <w:t>. Experimental timeline of the rat study.</w:t>
      </w:r>
    </w:p>
    <w:p w14:paraId="0C3FE068" w14:textId="5AB1C55B" w:rsidR="00A45AF9" w:rsidRDefault="005E420E" w:rsidP="00A45AF9">
      <w:pPr>
        <w:spacing w:beforeLines="30" w:before="93" w:line="264" w:lineRule="auto"/>
        <w:rPr>
          <w:rFonts w:ascii="Times New Roman" w:hAnsi="Times New Roman" w:cs="Times New Roman"/>
          <w:sz w:val="24"/>
          <w:szCs w:val="28"/>
        </w:rPr>
      </w:pPr>
      <w:r w:rsidRPr="005E420E">
        <w:rPr>
          <w:rFonts w:ascii="Times New Roman" w:hAnsi="Times New Roman" w:cs="Times New Roman"/>
          <w:sz w:val="24"/>
          <w:szCs w:val="28"/>
        </w:rPr>
        <w:t xml:space="preserve">Schematic overview of the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acetylphenylhydrazine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 (APH)-induced hyperbilirubinemia model and azelaic acid (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AzA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) intervention schedule. APH was administered intraperitoneally on days 1 and 3 to induce hyperbilirubinemia.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AzA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 (12 mg/100 g/day or 24 mg/100 g/day) or vehicle was administered once daily by oral gavage on days 4–8. Rats (n = 10 per group) were deeply anesthetized with inhaled isoflurane (3%–5% for induction) and euthanized via cervical dislocation on day 9 for collection of serum, colonic lavage fluid, colonic tissue, and fecal pellets for downstream assays. APH,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acetylphenylhydrazine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;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AzA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>, azelaic acid</w:t>
      </w:r>
      <w:r w:rsidR="00A45AF9" w:rsidRPr="005E420E">
        <w:rPr>
          <w:rFonts w:ascii="Times New Roman" w:hAnsi="Times New Roman" w:cs="Times New Roman"/>
          <w:sz w:val="24"/>
          <w:szCs w:val="28"/>
        </w:rPr>
        <w:t>.</w:t>
      </w:r>
    </w:p>
    <w:p w14:paraId="31CF682E" w14:textId="74FADB8A" w:rsidR="00D50227" w:rsidRPr="005E420E" w:rsidRDefault="00D50227" w:rsidP="00A45AF9">
      <w:pPr>
        <w:spacing w:beforeLines="30" w:before="93" w:line="264" w:lineRule="auto"/>
        <w:rPr>
          <w:rFonts w:ascii="Times New Roman" w:hAnsi="Times New Roman" w:cs="Times New Roman"/>
          <w:sz w:val="24"/>
          <w:szCs w:val="28"/>
        </w:rPr>
      </w:pPr>
      <w:r>
        <w:rPr>
          <w:noProof/>
        </w:rPr>
        <w:drawing>
          <wp:inline distT="0" distB="0" distL="0" distR="0" wp14:anchorId="30EE5E88" wp14:editId="43C8C8A0">
            <wp:extent cx="5274310" cy="4203065"/>
            <wp:effectExtent l="0" t="0" r="2540" b="6985"/>
            <wp:docPr id="199980525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0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005E7" w14:textId="76F7754B" w:rsidR="00A45AF9" w:rsidRPr="00C24D3F" w:rsidRDefault="002335B0" w:rsidP="00A45AF9">
      <w:pPr>
        <w:spacing w:before="60" w:after="60"/>
        <w:rPr>
          <w:rFonts w:ascii="Times New Roman" w:hAnsi="Times New Roman" w:cs="Times New Roman"/>
          <w:b/>
          <w:bCs/>
          <w:kern w:val="0"/>
          <w:sz w:val="24"/>
        </w:rPr>
      </w:pPr>
      <w:r w:rsidRPr="00C24D3F">
        <w:rPr>
          <w:rFonts w:ascii="Times New Roman" w:eastAsia="MS Mincho" w:hAnsi="Times New Roman" w:cs="Times New Roman"/>
          <w:b/>
          <w:bCs/>
          <w:kern w:val="0"/>
          <w:sz w:val="24"/>
          <w:lang w:eastAsia="en-US"/>
        </w:rPr>
        <w:t xml:space="preserve">Supplementary Fig. </w:t>
      </w:r>
      <w:r w:rsidR="007C328C" w:rsidRPr="00C24D3F">
        <w:rPr>
          <w:rFonts w:ascii="Times New Roman" w:hAnsi="Times New Roman" w:cs="Times New Roman" w:hint="eastAsia"/>
          <w:b/>
          <w:bCs/>
          <w:kern w:val="0"/>
          <w:sz w:val="24"/>
        </w:rPr>
        <w:t>2</w:t>
      </w:r>
      <w:r w:rsidR="00A45AF9" w:rsidRPr="00C24D3F">
        <w:rPr>
          <w:rFonts w:ascii="Times New Roman" w:eastAsia="MS Mincho" w:hAnsi="Times New Roman" w:cs="Times New Roman" w:hint="eastAsia"/>
          <w:b/>
          <w:bCs/>
          <w:kern w:val="0"/>
          <w:sz w:val="24"/>
          <w:lang w:eastAsia="en-US"/>
        </w:rPr>
        <w:t xml:space="preserve">. Fecal microbiome community structure in the rat </w:t>
      </w:r>
      <w:r w:rsidR="00A45AF9" w:rsidRPr="00C24D3F">
        <w:rPr>
          <w:rFonts w:ascii="Times New Roman" w:eastAsia="MS Mincho" w:hAnsi="Times New Roman" w:cs="Times New Roman" w:hint="eastAsia"/>
          <w:b/>
          <w:bCs/>
          <w:kern w:val="0"/>
          <w:sz w:val="24"/>
          <w:lang w:eastAsia="en-US"/>
        </w:rPr>
        <w:lastRenderedPageBreak/>
        <w:t>experiment.</w:t>
      </w:r>
    </w:p>
    <w:p w14:paraId="04B2D841" w14:textId="3BE4570F" w:rsidR="00A45AF9" w:rsidRDefault="005E420E" w:rsidP="00A45AF9">
      <w:pPr>
        <w:spacing w:beforeLines="30" w:before="93" w:line="264" w:lineRule="auto"/>
        <w:rPr>
          <w:rFonts w:ascii="Times New Roman" w:hAnsi="Times New Roman" w:cs="Times New Roman"/>
          <w:sz w:val="24"/>
          <w:szCs w:val="28"/>
        </w:rPr>
      </w:pPr>
      <w:r w:rsidRPr="005E420E">
        <w:rPr>
          <w:rFonts w:ascii="Times New Roman" w:hAnsi="Times New Roman" w:cs="Times New Roman"/>
          <w:sz w:val="24"/>
          <w:szCs w:val="28"/>
        </w:rPr>
        <w:t xml:space="preserve">Rat fecal microbiome profiling was performed using full-length 16S rRNA gene sequencing (primers 27F/1492R) on a PacBio Sequel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IIe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 platform, followed by QIIME2-based processing to generate ASVs and compute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UniFrac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 distances. (A) Chao index (overall p = 0.2694, Kruskal–Wallis test). (B) Simpson index (overall p = 0.0649, Kruskal–Wallis test). (C)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PCoA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 based on weighted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UniFrac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 distances (ANOSIM R = 0.2425, </w:t>
      </w:r>
      <w:r w:rsidRPr="005E420E">
        <w:rPr>
          <w:rFonts w:ascii="Times New Roman" w:hAnsi="Times New Roman" w:cs="Times New Roman"/>
          <w:i/>
          <w:iCs/>
          <w:sz w:val="24"/>
          <w:szCs w:val="28"/>
        </w:rPr>
        <w:t>p</w:t>
      </w:r>
      <w:r w:rsidRPr="005E420E">
        <w:rPr>
          <w:rFonts w:ascii="Times New Roman" w:hAnsi="Times New Roman" w:cs="Times New Roman"/>
          <w:sz w:val="24"/>
          <w:szCs w:val="28"/>
        </w:rPr>
        <w:t xml:space="preserve"> = 0.003). (D)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PCoA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 based on unweighted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UniFrac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 distances (ANOSIM R = 0.2772, </w:t>
      </w:r>
      <w:r w:rsidRPr="005E420E">
        <w:rPr>
          <w:rFonts w:ascii="Times New Roman" w:hAnsi="Times New Roman" w:cs="Times New Roman"/>
          <w:i/>
          <w:iCs/>
          <w:sz w:val="24"/>
          <w:szCs w:val="28"/>
        </w:rPr>
        <w:t>p</w:t>
      </w:r>
      <w:r w:rsidRPr="005E420E">
        <w:rPr>
          <w:rFonts w:ascii="Times New Roman" w:hAnsi="Times New Roman" w:cs="Times New Roman"/>
          <w:sz w:val="24"/>
          <w:szCs w:val="28"/>
        </w:rPr>
        <w:t xml:space="preserve"> = 0.001). Points represent individual rats (n = 10 per group); ellipses indicate 95% confidence regions</w:t>
      </w:r>
      <w:r w:rsidR="00A45AF9" w:rsidRPr="005E420E">
        <w:rPr>
          <w:rFonts w:ascii="Times New Roman" w:hAnsi="Times New Roman" w:cs="Times New Roman"/>
          <w:sz w:val="24"/>
          <w:szCs w:val="28"/>
        </w:rPr>
        <w:t>.</w:t>
      </w:r>
    </w:p>
    <w:p w14:paraId="5D865756" w14:textId="3734041A" w:rsidR="00D50227" w:rsidRPr="005E420E" w:rsidRDefault="00D50227" w:rsidP="00A45AF9">
      <w:pPr>
        <w:spacing w:beforeLines="30" w:before="93" w:line="264" w:lineRule="auto"/>
        <w:rPr>
          <w:rFonts w:ascii="Times New Roman" w:hAnsi="Times New Roman" w:cs="Times New Roman"/>
          <w:sz w:val="24"/>
          <w:szCs w:val="28"/>
        </w:rPr>
      </w:pPr>
      <w:r>
        <w:rPr>
          <w:noProof/>
        </w:rPr>
        <w:drawing>
          <wp:inline distT="0" distB="0" distL="0" distR="0" wp14:anchorId="11206294" wp14:editId="7ACA73C8">
            <wp:extent cx="5274310" cy="2966720"/>
            <wp:effectExtent l="0" t="0" r="2540" b="5080"/>
            <wp:docPr id="178281400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0623F" w14:textId="50CAECC5" w:rsidR="00A45AF9" w:rsidRPr="00C24D3F" w:rsidRDefault="002335B0" w:rsidP="00A45AF9">
      <w:pPr>
        <w:spacing w:before="60" w:after="60"/>
        <w:rPr>
          <w:rFonts w:ascii="Times New Roman" w:hAnsi="Times New Roman" w:cs="Times New Roman"/>
          <w:b/>
          <w:bCs/>
          <w:kern w:val="0"/>
          <w:sz w:val="24"/>
        </w:rPr>
      </w:pPr>
      <w:r w:rsidRPr="00C24D3F">
        <w:rPr>
          <w:rFonts w:ascii="Times New Roman" w:eastAsia="MS Mincho" w:hAnsi="Times New Roman" w:cs="Times New Roman"/>
          <w:b/>
          <w:bCs/>
          <w:kern w:val="0"/>
          <w:sz w:val="24"/>
          <w:lang w:eastAsia="en-US"/>
        </w:rPr>
        <w:t xml:space="preserve">Supplementary Fig. </w:t>
      </w:r>
      <w:r w:rsidR="007C328C" w:rsidRPr="00C24D3F">
        <w:rPr>
          <w:rFonts w:ascii="Times New Roman" w:hAnsi="Times New Roman" w:cs="Times New Roman" w:hint="eastAsia"/>
          <w:b/>
          <w:bCs/>
          <w:kern w:val="0"/>
          <w:sz w:val="24"/>
        </w:rPr>
        <w:t>3</w:t>
      </w:r>
      <w:r w:rsidR="00A45AF9" w:rsidRPr="00C24D3F">
        <w:rPr>
          <w:rFonts w:ascii="Times New Roman" w:eastAsia="MS Mincho" w:hAnsi="Times New Roman" w:cs="Times New Roman" w:hint="eastAsia"/>
          <w:b/>
          <w:bCs/>
          <w:kern w:val="0"/>
          <w:sz w:val="24"/>
          <w:lang w:eastAsia="en-US"/>
        </w:rPr>
        <w:t>. Genus-level relative abundance of representative taxa in the rat fecal microbiome.</w:t>
      </w:r>
    </w:p>
    <w:p w14:paraId="58833E27" w14:textId="3C20DDBD" w:rsidR="00653388" w:rsidRPr="005E420E" w:rsidRDefault="005E420E" w:rsidP="00A45AF9">
      <w:pPr>
        <w:spacing w:beforeLines="30" w:before="93" w:line="264" w:lineRule="auto"/>
        <w:rPr>
          <w:rFonts w:ascii="Times New Roman" w:hAnsi="Times New Roman" w:cs="Times New Roman"/>
          <w:sz w:val="24"/>
          <w:szCs w:val="28"/>
        </w:rPr>
      </w:pPr>
      <w:r w:rsidRPr="005E420E">
        <w:rPr>
          <w:rFonts w:ascii="Times New Roman" w:hAnsi="Times New Roman" w:cs="Times New Roman"/>
          <w:sz w:val="24"/>
          <w:szCs w:val="28"/>
        </w:rPr>
        <w:t xml:space="preserve">Relative abundance of (A) Clostridium, (B)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Romboutsia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, and (C) Lactobacillus across the four groups: Ctrl, Model,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LowDose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, and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HighDose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 (n = 10 rats per group), based on full-length 16S rRNA gene sequencing (27F/1492R; PacBio Sequel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IIe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) and taxonomy assignment in the study’s QIIME2-based workflow.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LowDose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 and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HighDose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 denote azelaic acid gavage at 12 mg/100 g/day and 24 mg/100 g/day, respectively. Boxplots show the median and interquartile range (IQR); whiskers indicate 1.5× IQR. Overall group differences were assessed using the Kruskal–Wallis test. Only statistically significant post hoc pairwise comparisons are annotated in the figure; </w:t>
      </w:r>
      <w:r w:rsidRPr="005E420E">
        <w:rPr>
          <w:rFonts w:ascii="Times New Roman" w:hAnsi="Times New Roman" w:cs="Times New Roman"/>
          <w:i/>
          <w:iCs/>
          <w:sz w:val="24"/>
          <w:szCs w:val="28"/>
        </w:rPr>
        <w:t>p</w:t>
      </w:r>
      <w:r w:rsidRPr="005E420E">
        <w:rPr>
          <w:rFonts w:ascii="Times New Roman" w:hAnsi="Times New Roman" w:cs="Times New Roman"/>
          <w:sz w:val="24"/>
          <w:szCs w:val="28"/>
        </w:rPr>
        <w:t xml:space="preserve"> values were adjusted using the </w:t>
      </w:r>
      <w:proofErr w:type="spellStart"/>
      <w:r w:rsidRPr="005E420E">
        <w:rPr>
          <w:rFonts w:ascii="Times New Roman" w:hAnsi="Times New Roman" w:cs="Times New Roman"/>
          <w:sz w:val="24"/>
          <w:szCs w:val="28"/>
        </w:rPr>
        <w:t>Benjamini</w:t>
      </w:r>
      <w:proofErr w:type="spellEnd"/>
      <w:r w:rsidRPr="005E420E">
        <w:rPr>
          <w:rFonts w:ascii="Times New Roman" w:hAnsi="Times New Roman" w:cs="Times New Roman"/>
          <w:sz w:val="24"/>
          <w:szCs w:val="28"/>
        </w:rPr>
        <w:t xml:space="preserve">–Hochberg false discovery rate (FDR) method. </w:t>
      </w:r>
      <w:r w:rsidRPr="005E420E">
        <w:rPr>
          <w:rFonts w:ascii="Times New Roman" w:hAnsi="Times New Roman" w:cs="Times New Roman" w:hint="eastAsia"/>
          <w:sz w:val="24"/>
          <w:szCs w:val="28"/>
        </w:rPr>
        <w:t xml:space="preserve">* </w:t>
      </w:r>
      <w:r w:rsidRPr="005E420E">
        <w:rPr>
          <w:rFonts w:ascii="Times New Roman" w:hAnsi="Times New Roman" w:cs="Times New Roman" w:hint="eastAsia"/>
          <w:i/>
          <w:iCs/>
          <w:sz w:val="24"/>
          <w:szCs w:val="28"/>
        </w:rPr>
        <w:t>p</w:t>
      </w:r>
      <w:r w:rsidRPr="005E420E">
        <w:rPr>
          <w:rFonts w:ascii="Times New Roman" w:hAnsi="Times New Roman" w:cs="Times New Roman" w:hint="eastAsia"/>
          <w:sz w:val="24"/>
          <w:szCs w:val="28"/>
        </w:rPr>
        <w:t xml:space="preserve"> &lt; 0.05, ** </w:t>
      </w:r>
      <w:r w:rsidRPr="005E420E">
        <w:rPr>
          <w:rFonts w:ascii="Times New Roman" w:hAnsi="Times New Roman" w:cs="Times New Roman" w:hint="eastAsia"/>
          <w:i/>
          <w:iCs/>
          <w:sz w:val="24"/>
          <w:szCs w:val="28"/>
        </w:rPr>
        <w:t>p</w:t>
      </w:r>
      <w:r w:rsidRPr="005E420E">
        <w:rPr>
          <w:rFonts w:ascii="Times New Roman" w:hAnsi="Times New Roman" w:cs="Times New Roman" w:hint="eastAsia"/>
          <w:sz w:val="24"/>
          <w:szCs w:val="28"/>
        </w:rPr>
        <w:t xml:space="preserve"> &lt; 0.01, *** </w:t>
      </w:r>
      <w:r w:rsidRPr="005E420E">
        <w:rPr>
          <w:rFonts w:ascii="Times New Roman" w:hAnsi="Times New Roman" w:cs="Times New Roman" w:hint="eastAsia"/>
          <w:i/>
          <w:iCs/>
          <w:sz w:val="24"/>
          <w:szCs w:val="28"/>
        </w:rPr>
        <w:t>p</w:t>
      </w:r>
      <w:r w:rsidRPr="005E420E">
        <w:rPr>
          <w:rFonts w:ascii="Times New Roman" w:hAnsi="Times New Roman" w:cs="Times New Roman" w:hint="eastAsia"/>
          <w:sz w:val="24"/>
          <w:szCs w:val="28"/>
        </w:rPr>
        <w:t xml:space="preserve"> &lt; 0.001.</w:t>
      </w:r>
    </w:p>
    <w:sectPr w:rsidR="00653388" w:rsidRPr="005E4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0AA45" w14:textId="77777777" w:rsidR="00294D55" w:rsidRDefault="00294D55" w:rsidP="00A45AF9">
      <w:r>
        <w:separator/>
      </w:r>
    </w:p>
  </w:endnote>
  <w:endnote w:type="continuationSeparator" w:id="0">
    <w:p w14:paraId="02B3E788" w14:textId="77777777" w:rsidR="00294D55" w:rsidRDefault="00294D55" w:rsidP="00A4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CCB78" w14:textId="77777777" w:rsidR="00294D55" w:rsidRDefault="00294D55" w:rsidP="00A45AF9">
      <w:r>
        <w:separator/>
      </w:r>
    </w:p>
  </w:footnote>
  <w:footnote w:type="continuationSeparator" w:id="0">
    <w:p w14:paraId="16DC9000" w14:textId="77777777" w:rsidR="00294D55" w:rsidRDefault="00294D55" w:rsidP="00A45A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1A9"/>
    <w:rsid w:val="002335B0"/>
    <w:rsid w:val="00272AEA"/>
    <w:rsid w:val="00294D55"/>
    <w:rsid w:val="003C7E7E"/>
    <w:rsid w:val="005202E9"/>
    <w:rsid w:val="005C6663"/>
    <w:rsid w:val="005E420E"/>
    <w:rsid w:val="00653388"/>
    <w:rsid w:val="00664107"/>
    <w:rsid w:val="007C328C"/>
    <w:rsid w:val="007D6037"/>
    <w:rsid w:val="0096596D"/>
    <w:rsid w:val="00A45AF9"/>
    <w:rsid w:val="00AE1F10"/>
    <w:rsid w:val="00B044BF"/>
    <w:rsid w:val="00C24D3F"/>
    <w:rsid w:val="00C307E1"/>
    <w:rsid w:val="00D50227"/>
    <w:rsid w:val="00F3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51DAA2"/>
  <w15:chartTrackingRefBased/>
  <w15:docId w15:val="{A31AA0F7-2F09-457A-B535-A88CCE697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361A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1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1A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61A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61A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61A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61A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61A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61A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61A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61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61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61A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61A9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361A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61A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61A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61A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61A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61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61A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61A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61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61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61A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61A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61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61A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361A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45AF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45AF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45A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45A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中原 李</dc:creator>
  <cp:keywords/>
  <dc:description/>
  <cp:lastModifiedBy>汤杨蓝</cp:lastModifiedBy>
  <cp:revision>7</cp:revision>
  <dcterms:created xsi:type="dcterms:W3CDTF">2026-03-10T12:34:00Z</dcterms:created>
  <dcterms:modified xsi:type="dcterms:W3CDTF">2026-05-06T01:57:00Z</dcterms:modified>
</cp:coreProperties>
</file>